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F2335" w14:textId="77777777" w:rsidR="004F7313" w:rsidRDefault="009630D6">
      <w:pPr>
        <w:pStyle w:val="Body"/>
        <w:ind w:left="2160" w:firstLine="720"/>
        <w:jc w:val="center"/>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b/>
          <w:bCs/>
          <w:sz w:val="24"/>
          <w:szCs w:val="24"/>
          <w:u w:color="000000"/>
          <w14:textOutline w14:w="12700" w14:cap="flat" w14:cmpd="sng" w14:algn="ctr">
            <w14:noFill/>
            <w14:prstDash w14:val="solid"/>
            <w14:miter w14:lim="400000"/>
          </w14:textOutline>
        </w:rPr>
        <w:t xml:space="preserve">IN THE MATTER  </w:t>
      </w:r>
      <w:r>
        <w:rPr>
          <w:rFonts w:ascii="Times New Roman" w:hAnsi="Times New Roman"/>
          <w:sz w:val="24"/>
          <w:szCs w:val="24"/>
          <w:u w:color="000000"/>
          <w14:textOutline w14:w="12700" w14:cap="flat" w14:cmpd="sng" w14:algn="ctr">
            <w14:noFill/>
            <w14:prstDash w14:val="solid"/>
            <w14:miter w14:lim="400000"/>
          </w14:textOutline>
        </w:rPr>
        <w:t>of a dispute under the</w:t>
      </w:r>
    </w:p>
    <w:p w14:paraId="24E6926E" w14:textId="77777777" w:rsidR="004F7313" w:rsidRDefault="009630D6">
      <w:pPr>
        <w:pStyle w:val="Body"/>
        <w:ind w:left="4320"/>
        <w:jc w:val="center"/>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eastAsia="Times New Roman" w:hAnsi="Times New Roman" w:cs="Times New Roman"/>
          <w:sz w:val="24"/>
          <w:szCs w:val="24"/>
          <w:u w:color="000000"/>
          <w14:textOutline w14:w="12700" w14:cap="flat" w14:cmpd="sng" w14:algn="ctr">
            <w14:noFill/>
            <w14:prstDash w14:val="solid"/>
            <w14:miter w14:lim="400000"/>
          </w14:textOutline>
        </w:rPr>
        <w:tab/>
      </w:r>
      <w:r>
        <w:rPr>
          <w:rFonts w:ascii="Times New Roman" w:eastAsia="Times New Roman" w:hAnsi="Times New Roman" w:cs="Times New Roman"/>
          <w:sz w:val="24"/>
          <w:szCs w:val="24"/>
          <w:u w:color="000000"/>
          <w14:textOutline w14:w="12700" w14:cap="flat" w14:cmpd="sng" w14:algn="ctr">
            <w14:noFill/>
            <w14:prstDash w14:val="solid"/>
            <w14:miter w14:lim="400000"/>
          </w14:textOutline>
        </w:rPr>
        <w:tab/>
        <w:t>Retirement Villages Act 2003</w:t>
      </w:r>
    </w:p>
    <w:p w14:paraId="3C8C4833" w14:textId="77777777" w:rsidR="004F7313" w:rsidRDefault="004F7313">
      <w:pPr>
        <w:pStyle w:val="Body"/>
        <w:ind w:left="4320"/>
        <w:jc w:val="center"/>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6CBA95E1" w14:textId="77777777" w:rsidR="004F7313" w:rsidRDefault="004F7313">
      <w:pPr>
        <w:pStyle w:val="Body"/>
        <w:ind w:left="4320"/>
        <w:jc w:val="center"/>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4D14D246" w14:textId="77777777" w:rsidR="004F7313" w:rsidRDefault="004F7313">
      <w:pPr>
        <w:pStyle w:val="Body"/>
        <w:ind w:left="4320"/>
        <w:jc w:val="center"/>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32D392E2" w14:textId="77777777" w:rsidR="004F7313" w:rsidRDefault="009630D6">
      <w:pPr>
        <w:pStyle w:val="Body"/>
        <w:ind w:left="4320"/>
        <w:jc w:val="center"/>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b/>
          <w:bCs/>
          <w:sz w:val="24"/>
          <w:szCs w:val="24"/>
          <w:u w:color="000000"/>
          <w14:textOutline w14:w="12700" w14:cap="flat" w14:cmpd="sng" w14:algn="ctr">
            <w14:noFill/>
            <w14:prstDash w14:val="solid"/>
            <w14:miter w14:lim="400000"/>
          </w14:textOutline>
        </w:rPr>
        <w:t>BETWEEN</w:t>
      </w:r>
      <w:r>
        <w:rPr>
          <w:rFonts w:ascii="Times New Roman" w:hAnsi="Times New Roman"/>
          <w:b/>
          <w:bCs/>
          <w:sz w:val="24"/>
          <w:szCs w:val="24"/>
          <w:u w:color="000000"/>
          <w14:textOutline w14:w="12700" w14:cap="flat" w14:cmpd="sng" w14:algn="ctr">
            <w14:noFill/>
            <w14:prstDash w14:val="solid"/>
            <w14:miter w14:lim="400000"/>
          </w14:textOutline>
        </w:rPr>
        <w:tab/>
        <w:t xml:space="preserve">     </w:t>
      </w:r>
      <w:r>
        <w:rPr>
          <w:rFonts w:ascii="Times New Roman" w:hAnsi="Times New Roman"/>
          <w:sz w:val="24"/>
          <w:szCs w:val="24"/>
          <w:u w:color="000000"/>
          <w14:textOutline w14:w="12700" w14:cap="flat" w14:cmpd="sng" w14:algn="ctr">
            <w14:noFill/>
            <w14:prstDash w14:val="solid"/>
            <w14:miter w14:lim="400000"/>
          </w14:textOutline>
        </w:rPr>
        <w:t>T W and other residents</w:t>
      </w:r>
      <w:r>
        <w:rPr>
          <w:rFonts w:ascii="Times New Roman" w:hAnsi="Times New Roman"/>
          <w:sz w:val="24"/>
          <w:szCs w:val="24"/>
          <w:u w:color="000000"/>
          <w14:textOutline w14:w="12700" w14:cap="flat" w14:cmpd="sng" w14:algn="ctr">
            <w14:noFill/>
            <w14:prstDash w14:val="solid"/>
            <w14:miter w14:lim="400000"/>
          </w14:textOutline>
        </w:rPr>
        <w:tab/>
      </w:r>
      <w:r>
        <w:rPr>
          <w:rFonts w:ascii="Times New Roman" w:hAnsi="Times New Roman"/>
          <w:sz w:val="24"/>
          <w:szCs w:val="24"/>
          <w:u w:color="000000"/>
          <w14:textOutline w14:w="12700" w14:cap="flat" w14:cmpd="sng" w14:algn="ctr">
            <w14:noFill/>
            <w14:prstDash w14:val="solid"/>
            <w14:miter w14:lim="400000"/>
          </w14:textOutline>
        </w:rPr>
        <w:tab/>
        <w:t xml:space="preserve">         </w:t>
      </w:r>
    </w:p>
    <w:p w14:paraId="79B6BE91" w14:textId="77777777" w:rsidR="004F7313" w:rsidRDefault="009630D6">
      <w:pPr>
        <w:pStyle w:val="Body"/>
        <w:ind w:left="4320"/>
        <w:jc w:val="center"/>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Applicants</w:t>
      </w:r>
    </w:p>
    <w:p w14:paraId="72B9B20A" w14:textId="77777777" w:rsidR="004F7313" w:rsidRDefault="009630D6">
      <w:pPr>
        <w:pStyle w:val="Body"/>
        <w:ind w:left="4320"/>
        <w:jc w:val="center"/>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 xml:space="preserve">   </w:t>
      </w:r>
    </w:p>
    <w:p w14:paraId="58F02317" w14:textId="77777777" w:rsidR="004F7313" w:rsidRDefault="004F7313">
      <w:pPr>
        <w:pStyle w:val="Body"/>
        <w:ind w:left="4320"/>
        <w:jc w:val="center"/>
        <w:rPr>
          <w:rFonts w:ascii="Times New Roman" w:eastAsia="Times New Roman" w:hAnsi="Times New Roman" w:cs="Times New Roman"/>
          <w:u w:color="000000"/>
          <w14:textOutline w14:w="12700" w14:cap="flat" w14:cmpd="sng" w14:algn="ctr">
            <w14:noFill/>
            <w14:prstDash w14:val="solid"/>
            <w14:miter w14:lim="400000"/>
          </w14:textOutline>
        </w:rPr>
      </w:pPr>
    </w:p>
    <w:p w14:paraId="0F7F1422" w14:textId="77777777" w:rsidR="004F7313" w:rsidRDefault="009630D6">
      <w:pPr>
        <w:pStyle w:val="Body"/>
        <w:ind w:left="432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b/>
          <w:bCs/>
          <w:sz w:val="24"/>
          <w:szCs w:val="24"/>
          <w:u w:color="000000"/>
          <w14:textOutline w14:w="12700" w14:cap="flat" w14:cmpd="sng" w14:algn="ctr">
            <w14:noFill/>
            <w14:prstDash w14:val="solid"/>
            <w14:miter w14:lim="400000"/>
          </w14:textOutline>
        </w:rPr>
        <w:t xml:space="preserve">  AND                  </w:t>
      </w:r>
      <w:r>
        <w:rPr>
          <w:rFonts w:ascii="Times New Roman" w:hAnsi="Times New Roman"/>
          <w:sz w:val="24"/>
          <w:szCs w:val="24"/>
          <w:u w:color="000000"/>
          <w14:textOutline w14:w="12700" w14:cap="flat" w14:cmpd="sng" w14:algn="ctr">
            <w14:noFill/>
            <w14:prstDash w14:val="solid"/>
            <w14:miter w14:lim="400000"/>
          </w14:textOutline>
        </w:rPr>
        <w:t xml:space="preserve">W V  </w:t>
      </w:r>
    </w:p>
    <w:p w14:paraId="1934099C" w14:textId="77777777" w:rsidR="004F7313" w:rsidRDefault="009630D6">
      <w:pPr>
        <w:pStyle w:val="Body"/>
        <w:ind w:left="4320"/>
        <w:jc w:val="center"/>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Respondent</w:t>
      </w:r>
    </w:p>
    <w:p w14:paraId="7C61746B" w14:textId="77777777" w:rsidR="004F7313" w:rsidRDefault="004F7313">
      <w:pPr>
        <w:pStyle w:val="Body"/>
        <w:ind w:left="4320"/>
        <w:jc w:val="center"/>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41BC2967" w14:textId="77777777" w:rsidR="004F7313" w:rsidRDefault="004F7313">
      <w:pPr>
        <w:pStyle w:val="Body"/>
        <w:ind w:left="4320"/>
        <w:jc w:val="center"/>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6A8D2A0F" w14:textId="77777777" w:rsidR="004F7313" w:rsidRDefault="004F7313">
      <w:pPr>
        <w:pStyle w:val="Body"/>
        <w:ind w:left="4320"/>
        <w:jc w:val="center"/>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449372E4" w14:textId="77777777" w:rsidR="004F7313" w:rsidRDefault="009630D6">
      <w:pPr>
        <w:pStyle w:val="Body"/>
        <w:ind w:left="284"/>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For Applicants:</w:t>
      </w:r>
      <w:r>
        <w:rPr>
          <w:rFonts w:ascii="Times New Roman" w:hAnsi="Times New Roman"/>
          <w:sz w:val="24"/>
          <w:szCs w:val="24"/>
          <w:u w:color="000000"/>
          <w14:textOutline w14:w="12700" w14:cap="flat" w14:cmpd="sng" w14:algn="ctr">
            <w14:noFill/>
            <w14:prstDash w14:val="solid"/>
            <w14:miter w14:lim="400000"/>
          </w14:textOutline>
        </w:rPr>
        <w:tab/>
        <w:t xml:space="preserve"> T W</w:t>
      </w:r>
    </w:p>
    <w:p w14:paraId="67AB6ED1" w14:textId="77777777" w:rsidR="004F7313" w:rsidRDefault="004F7313">
      <w:pPr>
        <w:pStyle w:val="Body"/>
        <w:ind w:left="284"/>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36C72789" w14:textId="77777777" w:rsidR="004F7313" w:rsidRDefault="009630D6">
      <w:pPr>
        <w:pStyle w:val="Body"/>
        <w:ind w:left="284"/>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F</w:t>
      </w:r>
      <w:r>
        <w:rPr>
          <w:rFonts w:ascii="Times New Roman" w:hAnsi="Times New Roman"/>
          <w:sz w:val="24"/>
          <w:szCs w:val="24"/>
          <w:u w:color="000000"/>
          <w14:textOutline w14:w="12700" w14:cap="flat" w14:cmpd="sng" w14:algn="ctr">
            <w14:noFill/>
            <w14:prstDash w14:val="solid"/>
            <w14:miter w14:lim="400000"/>
          </w14:textOutline>
        </w:rPr>
        <w:t>or Respondent:</w:t>
      </w:r>
      <w:r>
        <w:rPr>
          <w:rFonts w:ascii="Times New Roman" w:hAnsi="Times New Roman"/>
          <w:sz w:val="24"/>
          <w:szCs w:val="24"/>
          <w:u w:color="000000"/>
          <w14:textOutline w14:w="12700" w14:cap="flat" w14:cmpd="sng" w14:algn="ctr">
            <w14:noFill/>
            <w14:prstDash w14:val="solid"/>
            <w14:miter w14:lim="400000"/>
          </w14:textOutline>
        </w:rPr>
        <w:tab/>
        <w:t>S W</w:t>
      </w:r>
    </w:p>
    <w:p w14:paraId="114483EC" w14:textId="77777777" w:rsidR="004F7313" w:rsidRDefault="004F7313">
      <w:pPr>
        <w:pStyle w:val="Body"/>
        <w:ind w:left="284"/>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0C859D59" w14:textId="77777777" w:rsidR="004F7313" w:rsidRDefault="004F7313">
      <w:pPr>
        <w:pStyle w:val="Body"/>
        <w:ind w:left="2444" w:firstLine="436"/>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7CF2240A" w14:textId="77777777" w:rsidR="004F7313" w:rsidRDefault="009630D6">
      <w:pPr>
        <w:pStyle w:val="Body"/>
        <w:ind w:left="2444" w:firstLine="436"/>
        <w:rPr>
          <w:rFonts w:ascii="Times New Roman" w:eastAsia="Times New Roman" w:hAnsi="Times New Roman" w:cs="Times New Roman"/>
          <w:b/>
          <w:bCs/>
          <w:sz w:val="24"/>
          <w:szCs w:val="24"/>
          <w:u w:color="000000"/>
          <w14:textOutline w14:w="12700" w14:cap="flat" w14:cmpd="sng" w14:algn="ctr">
            <w14:noFill/>
            <w14:prstDash w14:val="solid"/>
            <w14:miter w14:lim="400000"/>
          </w14:textOutline>
        </w:rPr>
      </w:pPr>
      <w:r>
        <w:rPr>
          <w:rFonts w:ascii="Times New Roman" w:hAnsi="Times New Roman"/>
          <w:b/>
          <w:bCs/>
          <w:sz w:val="24"/>
          <w:szCs w:val="24"/>
          <w:u w:color="000000"/>
          <w14:textOutline w14:w="12700" w14:cap="flat" w14:cmpd="sng" w14:algn="ctr">
            <w14:noFill/>
            <w14:prstDash w14:val="solid"/>
            <w14:miter w14:lim="400000"/>
          </w14:textOutline>
        </w:rPr>
        <w:t xml:space="preserve">DECISION ON COSTS </w:t>
      </w:r>
    </w:p>
    <w:p w14:paraId="705D8320" w14:textId="77777777" w:rsidR="004F7313" w:rsidRDefault="004F7313">
      <w:pPr>
        <w:pStyle w:val="Body"/>
        <w:ind w:left="2444" w:firstLine="436"/>
        <w:rPr>
          <w:rFonts w:ascii="Times New Roman" w:eastAsia="Times New Roman" w:hAnsi="Times New Roman" w:cs="Times New Roman"/>
          <w:b/>
          <w:bCs/>
          <w:sz w:val="24"/>
          <w:szCs w:val="24"/>
          <w:u w:color="000000"/>
          <w14:textOutline w14:w="12700" w14:cap="flat" w14:cmpd="sng" w14:algn="ctr">
            <w14:noFill/>
            <w14:prstDash w14:val="solid"/>
            <w14:miter w14:lim="400000"/>
          </w14:textOutline>
        </w:rPr>
      </w:pPr>
    </w:p>
    <w:p w14:paraId="4E7C4741" w14:textId="77777777" w:rsidR="004F7313" w:rsidRDefault="004F7313">
      <w:pPr>
        <w:pStyle w:val="Body"/>
        <w:ind w:left="2444" w:firstLine="436"/>
        <w:rPr>
          <w:rFonts w:ascii="Times New Roman" w:eastAsia="Times New Roman" w:hAnsi="Times New Roman" w:cs="Times New Roman"/>
          <w:b/>
          <w:bCs/>
          <w:sz w:val="24"/>
          <w:szCs w:val="24"/>
          <w:u w:color="000000"/>
          <w14:textOutline w14:w="12700" w14:cap="flat" w14:cmpd="sng" w14:algn="ctr">
            <w14:noFill/>
            <w14:prstDash w14:val="solid"/>
            <w14:miter w14:lim="400000"/>
          </w14:textOutline>
        </w:rPr>
      </w:pPr>
    </w:p>
    <w:p w14:paraId="10C6605C" w14:textId="77777777" w:rsidR="004F7313" w:rsidRDefault="004F7313">
      <w:pPr>
        <w:pStyle w:val="Body"/>
        <w:ind w:left="2444" w:firstLine="436"/>
        <w:rPr>
          <w:rFonts w:ascii="Times New Roman" w:eastAsia="Times New Roman" w:hAnsi="Times New Roman" w:cs="Times New Roman"/>
          <w:b/>
          <w:bCs/>
          <w:sz w:val="24"/>
          <w:szCs w:val="24"/>
          <w:u w:color="000000"/>
          <w14:textOutline w14:w="12700" w14:cap="flat" w14:cmpd="sng" w14:algn="ctr">
            <w14:noFill/>
            <w14:prstDash w14:val="solid"/>
            <w14:miter w14:lim="400000"/>
          </w14:textOutline>
        </w:rPr>
      </w:pPr>
    </w:p>
    <w:p w14:paraId="256B516F" w14:textId="77777777" w:rsidR="004F7313" w:rsidRDefault="004F7313">
      <w:pPr>
        <w:pStyle w:val="Body"/>
        <w:ind w:left="2444" w:firstLine="436"/>
        <w:rPr>
          <w:rFonts w:ascii="Times New Roman" w:eastAsia="Times New Roman" w:hAnsi="Times New Roman" w:cs="Times New Roman"/>
          <w:b/>
          <w:bCs/>
          <w:sz w:val="24"/>
          <w:szCs w:val="24"/>
          <w:u w:color="000000"/>
          <w14:textOutline w14:w="12700" w14:cap="flat" w14:cmpd="sng" w14:algn="ctr">
            <w14:noFill/>
            <w14:prstDash w14:val="solid"/>
            <w14:miter w14:lim="400000"/>
          </w14:textOutline>
        </w:rPr>
      </w:pPr>
    </w:p>
    <w:p w14:paraId="211FE904" w14:textId="77777777" w:rsidR="004F7313" w:rsidRDefault="009630D6">
      <w:pPr>
        <w:pStyle w:val="Body"/>
        <w:ind w:left="284"/>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Disputes Panel:</w:t>
      </w:r>
      <w:r>
        <w:rPr>
          <w:rFonts w:ascii="Times New Roman" w:hAnsi="Times New Roman"/>
          <w:sz w:val="24"/>
          <w:szCs w:val="24"/>
          <w:u w:color="000000"/>
          <w14:textOutline w14:w="12700" w14:cap="flat" w14:cmpd="sng" w14:algn="ctr">
            <w14:noFill/>
            <w14:prstDash w14:val="solid"/>
            <w14:miter w14:lim="400000"/>
          </w14:textOutline>
        </w:rPr>
        <w:tab/>
      </w:r>
      <w:r>
        <w:rPr>
          <w:rFonts w:ascii="Times New Roman" w:hAnsi="Times New Roman"/>
          <w:sz w:val="24"/>
          <w:szCs w:val="24"/>
          <w:u w:color="000000"/>
          <w14:textOutline w14:w="12700" w14:cap="flat" w14:cmpd="sng" w14:algn="ctr">
            <w14:noFill/>
            <w14:prstDash w14:val="solid"/>
            <w14:miter w14:lim="400000"/>
          </w14:textOutline>
        </w:rPr>
        <w:tab/>
        <w:t>Dr Susan Robson</w:t>
      </w:r>
    </w:p>
    <w:p w14:paraId="603B0230" w14:textId="77777777" w:rsidR="004F7313" w:rsidRDefault="004F7313">
      <w:pPr>
        <w:pStyle w:val="Body"/>
        <w:ind w:left="284"/>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52CFCD11" w14:textId="77777777" w:rsidR="004F7313" w:rsidRDefault="004F7313">
      <w:pPr>
        <w:pStyle w:val="Body"/>
        <w:ind w:left="284"/>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08FAF905" w14:textId="77777777" w:rsidR="004F7313" w:rsidRDefault="009630D6">
      <w:pPr>
        <w:pStyle w:val="Body"/>
        <w:ind w:left="284"/>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1.</w:t>
      </w:r>
      <w:r>
        <w:rPr>
          <w:rFonts w:ascii="Times New Roman" w:hAnsi="Times New Roman"/>
          <w:sz w:val="24"/>
          <w:szCs w:val="24"/>
          <w:u w:color="000000"/>
          <w14:textOutline w14:w="12700" w14:cap="flat" w14:cmpd="sng" w14:algn="ctr">
            <w14:noFill/>
            <w14:prstDash w14:val="solid"/>
            <w14:miter w14:lim="400000"/>
          </w14:textOutline>
        </w:rPr>
        <w:tab/>
        <w:t>The Respondent Retirement Village Operator seeks an order for costs from the Applicant residents of $9927.79 following a Disputes Panel hearing that found against the Applicants.  The amount sought covers the costs of the Statutory Supervisor investigation and report, the Dispute Panel fee and the cost of representation.</w:t>
      </w:r>
    </w:p>
    <w:p w14:paraId="1F2FE140" w14:textId="77777777" w:rsidR="004F7313" w:rsidRDefault="004F7313">
      <w:pPr>
        <w:pStyle w:val="Body"/>
        <w:ind w:left="284"/>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0AE12314" w14:textId="77777777" w:rsidR="004F7313" w:rsidRDefault="009630D6">
      <w:pPr>
        <w:pStyle w:val="Body"/>
        <w:ind w:left="284"/>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2.</w:t>
      </w:r>
      <w:r>
        <w:rPr>
          <w:rFonts w:ascii="Times New Roman" w:hAnsi="Times New Roman"/>
          <w:sz w:val="24"/>
          <w:szCs w:val="24"/>
          <w:u w:color="000000"/>
          <w14:textOutline w14:w="12700" w14:cap="flat" w14:cmpd="sng" w14:algn="ctr">
            <w14:noFill/>
            <w14:prstDash w14:val="solid"/>
            <w14:miter w14:lim="400000"/>
          </w14:textOutline>
        </w:rPr>
        <w:tab/>
        <w:t>The Respondent Village has 17 units and 23 residents.  The Applicants were represented at the hearing by Messrs W, C, G and K.  They advise that they represent all other residents.  At issue was the calculation of the rates component of the weekly fee (payable monthly).  Prior to the Statutory Supervisor report it was calculated before the rates were struck and was, therefore, an estimate.  Following the Supervisor</w:t>
      </w:r>
      <w:r>
        <w:rPr>
          <w:rFonts w:ascii="Times New Roman" w:hAnsi="Times New Roman"/>
          <w:sz w:val="24"/>
          <w:szCs w:val="24"/>
          <w:u w:color="000000"/>
          <w14:textOutline w14:w="12700" w14:cap="flat" w14:cmpd="sng" w14:algn="ctr">
            <w14:noFill/>
            <w14:prstDash w14:val="solid"/>
            <w14:miter w14:lim="400000"/>
          </w14:textOutline>
        </w:rPr>
        <w:t>’</w:t>
      </w:r>
      <w:r>
        <w:rPr>
          <w:rFonts w:ascii="Times New Roman" w:hAnsi="Times New Roman"/>
          <w:sz w:val="24"/>
          <w:szCs w:val="24"/>
          <w:u w:color="000000"/>
          <w14:textOutline w14:w="12700" w14:cap="flat" w14:cmpd="sng" w14:algn="ctr">
            <w14:noFill/>
            <w14:prstDash w14:val="solid"/>
            <w14:miter w14:lim="400000"/>
          </w14:textOutline>
        </w:rPr>
        <w:t>s recommendation the weekly fee is calculated following notification of the actual annual rates for the property.</w:t>
      </w:r>
    </w:p>
    <w:p w14:paraId="7A0B6D09" w14:textId="77777777" w:rsidR="004F7313" w:rsidRDefault="004F7313">
      <w:pPr>
        <w:pStyle w:val="Body"/>
        <w:ind w:left="284"/>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2362EA02" w14:textId="77777777" w:rsidR="004F7313" w:rsidRDefault="009630D6">
      <w:pPr>
        <w:pStyle w:val="Body"/>
        <w:ind w:left="284"/>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3.</w:t>
      </w:r>
      <w:r>
        <w:rPr>
          <w:rFonts w:ascii="Times New Roman" w:hAnsi="Times New Roman"/>
          <w:sz w:val="24"/>
          <w:szCs w:val="24"/>
          <w:u w:color="000000"/>
          <w14:textOutline w14:w="12700" w14:cap="flat" w14:cmpd="sng" w14:algn="ctr">
            <w14:noFill/>
            <w14:prstDash w14:val="solid"/>
            <w14:miter w14:lim="400000"/>
          </w14:textOutline>
        </w:rPr>
        <w:tab/>
        <w:t xml:space="preserve">The Applicants sought orders for repayment of the difference between the estimated rates and the actual rates for the financial year prior to the involvement of the statutory supervisor but they were unable to surmount the challenge of the relevant provisions of their Occupation Rights Agreements that reserve the power to set the weekly fee (that encompasses a range of costs) to the Operator.  </w:t>
      </w:r>
    </w:p>
    <w:p w14:paraId="24B80C65" w14:textId="77777777" w:rsidR="004F7313" w:rsidRDefault="004F7313">
      <w:pPr>
        <w:pStyle w:val="Body"/>
        <w:ind w:left="284"/>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43C044F9" w14:textId="77777777" w:rsidR="004F7313" w:rsidRDefault="009630D6">
      <w:pPr>
        <w:pStyle w:val="Body"/>
        <w:ind w:left="284"/>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4.</w:t>
      </w:r>
      <w:r>
        <w:rPr>
          <w:rFonts w:ascii="Times New Roman" w:hAnsi="Times New Roman"/>
          <w:sz w:val="24"/>
          <w:szCs w:val="24"/>
          <w:u w:color="000000"/>
          <w14:textOutline w14:w="12700" w14:cap="flat" w14:cmpd="sng" w14:algn="ctr">
            <w14:noFill/>
            <w14:prstDash w14:val="solid"/>
            <w14:miter w14:lim="400000"/>
          </w14:textOutline>
        </w:rPr>
        <w:tab/>
        <w:t>The Statutory Supervisors report recognised that the basis of the claim concerned the Applicants</w:t>
      </w:r>
      <w:r>
        <w:rPr>
          <w:rFonts w:ascii="Times New Roman" w:hAnsi="Times New Roman"/>
          <w:sz w:val="24"/>
          <w:szCs w:val="24"/>
          <w:u w:color="000000"/>
          <w14:textOutline w14:w="12700" w14:cap="flat" w14:cmpd="sng" w14:algn="ctr">
            <w14:noFill/>
            <w14:prstDash w14:val="solid"/>
            <w14:miter w14:lim="400000"/>
          </w14:textOutline>
        </w:rPr>
        <w:t xml:space="preserve">’ </w:t>
      </w:r>
      <w:r>
        <w:rPr>
          <w:rFonts w:ascii="Times New Roman" w:hAnsi="Times New Roman"/>
          <w:sz w:val="24"/>
          <w:szCs w:val="24"/>
          <w:u w:color="000000"/>
          <w14:textOutline w14:w="12700" w14:cap="flat" w14:cmpd="sng" w14:algn="ctr">
            <w14:noFill/>
            <w14:prstDash w14:val="solid"/>
            <w14:miter w14:lim="400000"/>
          </w14:textOutline>
        </w:rPr>
        <w:t xml:space="preserve">beliefs about requirements to consult.  The report went into some detail about the </w:t>
      </w:r>
      <w:r>
        <w:rPr>
          <w:rFonts w:ascii="Times New Roman" w:hAnsi="Times New Roman"/>
          <w:sz w:val="24"/>
          <w:szCs w:val="24"/>
          <w:u w:color="000000"/>
          <w14:textOutline w14:w="12700" w14:cap="flat" w14:cmpd="sng" w14:algn="ctr">
            <w14:noFill/>
            <w14:prstDash w14:val="solid"/>
            <w14:miter w14:lim="400000"/>
          </w14:textOutline>
        </w:rPr>
        <w:t>concepts of consultation and negotiation, emphasising that the residents did not have the power to negotiate elements of the weekly fee, as they believed.  It became clear, during the panel hearing, that these explanations were not accepted, although repeated attempts to have the Applicants articulate why have been unsuccessful.</w:t>
      </w:r>
    </w:p>
    <w:p w14:paraId="4222ECD5" w14:textId="77777777" w:rsidR="004F7313" w:rsidRDefault="004F7313">
      <w:pPr>
        <w:pStyle w:val="Body"/>
        <w:ind w:left="284"/>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50E48231" w14:textId="77777777" w:rsidR="004F7313" w:rsidRDefault="009630D6">
      <w:pPr>
        <w:pStyle w:val="Body"/>
        <w:ind w:left="284"/>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lastRenderedPageBreak/>
        <w:t>5.</w:t>
      </w:r>
      <w:r>
        <w:rPr>
          <w:rFonts w:ascii="Times New Roman" w:hAnsi="Times New Roman"/>
          <w:sz w:val="24"/>
          <w:szCs w:val="24"/>
          <w:u w:color="000000"/>
          <w14:textOutline w14:w="12700" w14:cap="flat" w14:cmpd="sng" w14:algn="ctr">
            <w14:noFill/>
            <w14:prstDash w14:val="solid"/>
            <w14:miter w14:lim="400000"/>
          </w14:textOutline>
        </w:rPr>
        <w:tab/>
        <w:t>The Applicants submit that the costs of the dispute should be shared with the Operator.  The Respondent submits that a great deal of time, effort and expense has been put into explanations  of the issue that were subsequently echoed by both the Statutory Supervisor and the Disputes Panel, and for that reason the Applicants should shoulder the cost of serial refusals to accept those explanations.</w:t>
      </w:r>
    </w:p>
    <w:p w14:paraId="69637155" w14:textId="77777777" w:rsidR="004F7313" w:rsidRDefault="004F7313">
      <w:pPr>
        <w:pStyle w:val="Body"/>
        <w:ind w:left="284"/>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26FFBA6C" w14:textId="77777777" w:rsidR="004F7313" w:rsidRDefault="009630D6">
      <w:pPr>
        <w:pStyle w:val="Body"/>
        <w:ind w:left="284"/>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6.</w:t>
      </w:r>
      <w:r>
        <w:rPr>
          <w:rFonts w:ascii="Times New Roman" w:hAnsi="Times New Roman"/>
          <w:sz w:val="24"/>
          <w:szCs w:val="24"/>
          <w:u w:color="000000"/>
          <w14:textOutline w14:w="12700" w14:cap="flat" w14:cmpd="sng" w14:algn="ctr">
            <w14:noFill/>
            <w14:prstDash w14:val="solid"/>
            <w14:miter w14:lim="400000"/>
          </w14:textOutline>
        </w:rPr>
        <w:tab/>
        <w:t>The Statutory Supervisors report included the recommendation, accepted and implemented by the Operator, to align the weekly fee calculation process with the receipt of the struck rates.  As this was the first independent assessment of the dispute it is appropriate that its cost is shared.  The Applicants succeeded in having the rates component of the weekly fee based on the actual rates struck instead of an estimate.  It should, therefore, have resolved the matter.  The subsequent Panel hearing drew the sa</w:t>
      </w:r>
      <w:r>
        <w:rPr>
          <w:rFonts w:ascii="Times New Roman" w:hAnsi="Times New Roman"/>
          <w:sz w:val="24"/>
          <w:szCs w:val="24"/>
          <w:u w:color="000000"/>
          <w14:textOutline w14:w="12700" w14:cap="flat" w14:cmpd="sng" w14:algn="ctr">
            <w14:noFill/>
            <w14:prstDash w14:val="solid"/>
            <w14:miter w14:lim="400000"/>
          </w14:textOutline>
        </w:rPr>
        <w:t>me conclusions.  For that reason the cost of the Disputes Panel hearing should be borne by the unsuccessful Applicants.</w:t>
      </w:r>
    </w:p>
    <w:p w14:paraId="3B9F9455" w14:textId="77777777" w:rsidR="004F7313" w:rsidRDefault="004F7313">
      <w:pPr>
        <w:pStyle w:val="Body"/>
        <w:ind w:left="284"/>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740A4536" w14:textId="77777777" w:rsidR="004F7313" w:rsidRDefault="009630D6">
      <w:pPr>
        <w:pStyle w:val="Body"/>
        <w:ind w:left="284"/>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7.</w:t>
      </w:r>
      <w:r>
        <w:rPr>
          <w:rFonts w:ascii="Times New Roman" w:hAnsi="Times New Roman"/>
          <w:sz w:val="24"/>
          <w:szCs w:val="24"/>
          <w:u w:color="000000"/>
          <w14:textOutline w14:w="12700" w14:cap="flat" w14:cmpd="sng" w14:algn="ctr">
            <w14:noFill/>
            <w14:prstDash w14:val="solid"/>
            <w14:miter w14:lim="400000"/>
          </w14:textOutline>
        </w:rPr>
        <w:tab/>
        <w:t>The cost payable by the Applicants to the Respondent  (half the Supervisors Report and the Dispute Panel costs) is $9237.79.</w:t>
      </w:r>
    </w:p>
    <w:p w14:paraId="490E1BA2" w14:textId="77777777" w:rsidR="004F7313" w:rsidRDefault="004F7313">
      <w:pPr>
        <w:pStyle w:val="Body"/>
        <w:ind w:left="284"/>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3D46E8CC" w14:textId="77777777" w:rsidR="004F7313" w:rsidRDefault="004F7313">
      <w:pPr>
        <w:pStyle w:val="Body"/>
        <w:ind w:left="284"/>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645DB6DE" w14:textId="77777777" w:rsidR="004F7313" w:rsidRDefault="009630D6">
      <w:pPr>
        <w:pStyle w:val="Body"/>
        <w:ind w:left="284"/>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Dated this 27th day of November 2024</w:t>
      </w:r>
    </w:p>
    <w:p w14:paraId="7A3D5DE7" w14:textId="77777777" w:rsidR="004F7313" w:rsidRDefault="004F7313">
      <w:pPr>
        <w:pStyle w:val="Body"/>
        <w:ind w:left="284"/>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1F485F68" w14:textId="77777777" w:rsidR="004F7313" w:rsidRDefault="004F7313">
      <w:pPr>
        <w:pStyle w:val="Body"/>
        <w:ind w:left="284"/>
        <w:jc w:val="both"/>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3680CF41" w14:textId="77777777" w:rsidR="004F7313" w:rsidRDefault="009630D6">
      <w:pPr>
        <w:pStyle w:val="Body"/>
        <w:ind w:left="284"/>
        <w:jc w:val="both"/>
      </w:pPr>
      <w:r>
        <w:rPr>
          <w:rFonts w:ascii="Times New Roman" w:hAnsi="Times New Roman"/>
          <w:sz w:val="24"/>
          <w:szCs w:val="24"/>
          <w:u w:color="000000"/>
          <w14:textOutline w14:w="12700" w14:cap="flat" w14:cmpd="sng" w14:algn="ctr">
            <w14:noFill/>
            <w14:prstDash w14:val="solid"/>
            <w14:miter w14:lim="400000"/>
          </w14:textOutline>
        </w:rPr>
        <w:t>S C Robson</w:t>
      </w:r>
    </w:p>
    <w:sectPr w:rsidR="004F7313">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780BE" w14:textId="77777777" w:rsidR="009630D6" w:rsidRDefault="009630D6">
      <w:r>
        <w:separator/>
      </w:r>
    </w:p>
  </w:endnote>
  <w:endnote w:type="continuationSeparator" w:id="0">
    <w:p w14:paraId="3425220D" w14:textId="77777777" w:rsidR="009630D6" w:rsidRDefault="0096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4729B" w14:textId="77777777" w:rsidR="004F7313" w:rsidRDefault="004F73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03253" w14:textId="77777777" w:rsidR="009630D6" w:rsidRDefault="009630D6">
      <w:r>
        <w:separator/>
      </w:r>
    </w:p>
  </w:footnote>
  <w:footnote w:type="continuationSeparator" w:id="0">
    <w:p w14:paraId="540B4557" w14:textId="77777777" w:rsidR="009630D6" w:rsidRDefault="00963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5E30F" w14:textId="77777777" w:rsidR="004F7313" w:rsidRDefault="004F731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313"/>
    <w:rsid w:val="004F7313"/>
    <w:rsid w:val="009630D6"/>
    <w:rsid w:val="00C104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E736"/>
  <w15:docId w15:val="{5DB9E866-9E73-4051-8E72-C928ECDE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2792</Characters>
  <Application>Microsoft Office Word</Application>
  <DocSecurity>4</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Tristan Fluerty</cp:lastModifiedBy>
  <cp:revision>2</cp:revision>
  <dcterms:created xsi:type="dcterms:W3CDTF">2024-12-17T02:20:00Z</dcterms:created>
  <dcterms:modified xsi:type="dcterms:W3CDTF">2024-12-17T02:20:00Z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e51b88-42db-49c9-9269-0b2acd311738_Enabled">
    <vt:lpwstr>true</vt:lpwstr>
  </property>
  <property fmtid="{D5CDD505-2E9C-101B-9397-08002B2CF9AE}" pid="3" name="MSIP_Label_6ee51b88-42db-49c9-9269-0b2acd311738_SetDate">
    <vt:lpwstr>2024-12-17T02:20:01Z</vt:lpwstr>
  </property>
  <property fmtid="{D5CDD505-2E9C-101B-9397-08002B2CF9AE}" pid="4" name="MSIP_Label_6ee51b88-42db-49c9-9269-0b2acd311738_Method">
    <vt:lpwstr>Standard</vt:lpwstr>
  </property>
  <property fmtid="{D5CDD505-2E9C-101B-9397-08002B2CF9AE}" pid="5" name="MSIP_Label_6ee51b88-42db-49c9-9269-0b2acd311738_Name">
    <vt:lpwstr>defa4170-0d19-0005-0003-bc88714345d2</vt:lpwstr>
  </property>
  <property fmtid="{D5CDD505-2E9C-101B-9397-08002B2CF9AE}" pid="6" name="MSIP_Label_6ee51b88-42db-49c9-9269-0b2acd311738_SiteId">
    <vt:lpwstr>1c0ac81a-518c-4182-b9f6-692443df4f4e</vt:lpwstr>
  </property>
  <property fmtid="{D5CDD505-2E9C-101B-9397-08002B2CF9AE}" pid="7" name="MSIP_Label_6ee51b88-42db-49c9-9269-0b2acd311738_ActionId">
    <vt:lpwstr>a1f3e135-c155-4bcf-a730-373442c21e52</vt:lpwstr>
  </property>
  <property fmtid="{D5CDD505-2E9C-101B-9397-08002B2CF9AE}" pid="8" name="MSIP_Label_6ee51b88-42db-49c9-9269-0b2acd311738_ContentBits">
    <vt:lpwstr>0</vt:lpwstr>
  </property>
</Properties>
</file>